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68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611" w:right="6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Millionaire’s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Financial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Turning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Point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44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Private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Label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749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9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6270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00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